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54F" w:rsidRDefault="005D454F" w:rsidP="00AA174F">
      <w:pPr>
        <w:adjustRightInd w:val="0"/>
        <w:snapToGrid w:val="0"/>
        <w:jc w:val="center"/>
        <w:rPr>
          <w:rFonts w:ascii="宋体" w:cs="Times New Roman"/>
          <w:b/>
          <w:bCs/>
          <w:sz w:val="32"/>
          <w:szCs w:val="32"/>
        </w:rPr>
      </w:pPr>
      <w:r>
        <w:rPr>
          <w:rFonts w:ascii="宋体" w:hAnsi="宋体" w:cs="宋体"/>
          <w:b/>
          <w:bCs/>
          <w:sz w:val="32"/>
          <w:szCs w:val="32"/>
        </w:rPr>
        <w:t>2016</w:t>
      </w:r>
      <w:r>
        <w:rPr>
          <w:rFonts w:ascii="宋体" w:hAnsi="宋体" w:cs="宋体" w:hint="eastAsia"/>
          <w:b/>
          <w:bCs/>
          <w:sz w:val="32"/>
          <w:szCs w:val="32"/>
        </w:rPr>
        <w:t>年安徽省中小学新任教师公开招聘统一笔试</w:t>
      </w:r>
    </w:p>
    <w:p w:rsidR="005D454F" w:rsidRDefault="005D454F" w:rsidP="00AA174F">
      <w:pPr>
        <w:adjustRightInd w:val="0"/>
        <w:snapToGrid w:val="0"/>
        <w:jc w:val="center"/>
        <w:rPr>
          <w:rFonts w:ascii="宋体" w:cs="Times New Roman"/>
          <w:b/>
          <w:bCs/>
          <w:sz w:val="32"/>
          <w:szCs w:val="32"/>
        </w:rPr>
      </w:pPr>
      <w:r>
        <w:rPr>
          <w:rFonts w:ascii="宋体" w:hAnsi="宋体" w:cs="宋体" w:hint="eastAsia"/>
          <w:b/>
          <w:bCs/>
          <w:sz w:val="32"/>
          <w:szCs w:val="32"/>
        </w:rPr>
        <w:t>中学物理学科考试大纲</w:t>
      </w:r>
    </w:p>
    <w:p w:rsidR="005D454F" w:rsidRDefault="005D454F" w:rsidP="00AA174F">
      <w:pPr>
        <w:adjustRightInd w:val="0"/>
        <w:snapToGrid w:val="0"/>
        <w:jc w:val="center"/>
        <w:rPr>
          <w:rFonts w:ascii="宋体" w:cs="Times New Roman"/>
          <w:b/>
          <w:bCs/>
          <w:sz w:val="32"/>
          <w:szCs w:val="32"/>
        </w:rPr>
      </w:pPr>
    </w:p>
    <w:p w:rsidR="005D454F" w:rsidRDefault="005D454F" w:rsidP="00565696">
      <w:pPr>
        <w:pStyle w:val="1"/>
        <w:adjustRightInd w:val="0"/>
        <w:snapToGrid w:val="0"/>
        <w:ind w:leftChars="230" w:left="31680" w:firstLineChars="49" w:firstLine="31680"/>
        <w:rPr>
          <w:rFonts w:ascii="黑体" w:eastAsia="黑体" w:cs="Times New Roman"/>
          <w:b/>
          <w:bCs/>
          <w:sz w:val="28"/>
          <w:szCs w:val="28"/>
        </w:rPr>
      </w:pPr>
      <w:r>
        <w:rPr>
          <w:rFonts w:ascii="黑体" w:eastAsia="黑体" w:hAnsi="宋体" w:cs="黑体" w:hint="eastAsia"/>
          <w:b/>
          <w:bCs/>
          <w:sz w:val="28"/>
          <w:szCs w:val="28"/>
        </w:rPr>
        <w:t>一、考试性质</w:t>
      </w:r>
      <w:bookmarkStart w:id="0" w:name="_GoBack"/>
      <w:bookmarkEnd w:id="0"/>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安徽省中小学新任教师公开招聘考试为全省统一组织的公开性选拔考试，是落实“省考、县管、校用”教师管理体制的基础工作。其目的是吸引有志于从事基础教育事业的优秀人才到中小学任教，进一步规范中小学新任教师公开招聘工作，把好教师“入口关”。考试采取笔试和面试相结合的方式进行。笔试结果将作为安徽省中小学新任教师公开招聘面试的依据，同时纳入考试总成绩。招聘考试从教师相应岗位的专业素质和教育教学能力等方面进行全面考核，择优录取。招聘考试应具有较高的信度、效度，必要的区分度和适当的难度。</w:t>
      </w:r>
    </w:p>
    <w:p w:rsidR="005D454F" w:rsidRDefault="005D454F" w:rsidP="00565696">
      <w:pPr>
        <w:pStyle w:val="1"/>
        <w:adjustRightInd w:val="0"/>
        <w:snapToGrid w:val="0"/>
        <w:ind w:firstLine="31680"/>
        <w:rPr>
          <w:rFonts w:ascii="宋体" w:cs="Times New Roman"/>
          <w:b/>
          <w:bCs/>
          <w:sz w:val="24"/>
          <w:szCs w:val="24"/>
        </w:rPr>
      </w:pPr>
    </w:p>
    <w:p w:rsidR="005D454F" w:rsidRDefault="005D454F" w:rsidP="00565696">
      <w:pPr>
        <w:widowControl/>
        <w:adjustRightInd w:val="0"/>
        <w:snapToGrid w:val="0"/>
        <w:ind w:firstLineChars="196" w:firstLine="31680"/>
        <w:rPr>
          <w:rFonts w:ascii="黑体" w:eastAsia="黑体" w:cs="Times New Roman"/>
          <w:b/>
          <w:bCs/>
          <w:sz w:val="28"/>
          <w:szCs w:val="28"/>
        </w:rPr>
      </w:pPr>
      <w:r>
        <w:rPr>
          <w:rFonts w:ascii="黑体" w:eastAsia="黑体" w:hAnsi="宋体" w:cs="黑体" w:hint="eastAsia"/>
          <w:b/>
          <w:bCs/>
          <w:sz w:val="28"/>
          <w:szCs w:val="28"/>
        </w:rPr>
        <w:t>二、考试目标与要求</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安徽省中小学新任教师公开招聘考试在考查知识的同时，更注重考查能力。</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1</w:t>
      </w:r>
      <w:r w:rsidRPr="00566903">
        <w:rPr>
          <w:rFonts w:ascii="仿宋_GB2312" w:eastAsia="仿宋_GB2312" w:hAnsi="宋体" w:cs="仿宋_GB2312" w:hint="eastAsia"/>
          <w:snapToGrid w:val="0"/>
          <w:sz w:val="28"/>
          <w:szCs w:val="28"/>
        </w:rPr>
        <w:t>．关注考生对中学物理专业知识的理解和应用能力，以及对其中所蕴含的物理思想、物理方法的认识水平。要求考生能全面、深入地理解这些知识并加以应用，对物理思想和物理方法层面的问题有正确、合理的认识。</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2</w:t>
      </w:r>
      <w:r w:rsidRPr="00566903">
        <w:rPr>
          <w:rFonts w:ascii="仿宋_GB2312" w:eastAsia="仿宋_GB2312" w:hAnsi="宋体" w:cs="仿宋_GB2312" w:hint="eastAsia"/>
          <w:snapToGrid w:val="0"/>
          <w:sz w:val="28"/>
          <w:szCs w:val="28"/>
        </w:rPr>
        <w:t>．关注考生对普通物理学知识的理解和应用能力，以及对其中所蕴含的物理思想、物理方法的认识水平。要求考生能正确理解这些知识，并能与中学阶段的问题合理地结合；对于其中思想和方法层面的问题，要求能结合具体的问题进行恰当地表达、说明（比如：微积分在具体问题中的运用）。</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3</w:t>
      </w:r>
      <w:r w:rsidRPr="00566903">
        <w:rPr>
          <w:rFonts w:ascii="仿宋_GB2312" w:eastAsia="仿宋_GB2312" w:hAnsi="宋体" w:cs="仿宋_GB2312" w:hint="eastAsia"/>
          <w:snapToGrid w:val="0"/>
          <w:sz w:val="28"/>
          <w:szCs w:val="28"/>
        </w:rPr>
        <w:t>．关注考生作为一名物理教师应具有的基本素质。要求考生根据中学生的</w:t>
      </w:r>
      <w:r w:rsidRPr="00565696">
        <w:rPr>
          <w:rFonts w:ascii="仿宋_GB2312" w:eastAsia="仿宋_GB2312" w:hAnsi="宋体" w:cs="仿宋_GB2312" w:hint="eastAsia"/>
          <w:snapToGrid w:val="0"/>
          <w:sz w:val="28"/>
          <w:szCs w:val="28"/>
        </w:rPr>
        <w:t>年龄特点和知识水平，按照课</w:t>
      </w:r>
      <w:r w:rsidRPr="00566903">
        <w:rPr>
          <w:rFonts w:ascii="仿宋_GB2312" w:eastAsia="仿宋_GB2312" w:hAnsi="宋体" w:cs="仿宋_GB2312" w:hint="eastAsia"/>
          <w:snapToGrid w:val="0"/>
          <w:sz w:val="28"/>
          <w:szCs w:val="28"/>
        </w:rPr>
        <w:t>程标准的要求，针对具体的教学内容，能够提出恰当的教学目标、进行合理的教学设计和组织有效的教学过程等。</w:t>
      </w:r>
    </w:p>
    <w:p w:rsidR="005D454F" w:rsidRDefault="005D454F" w:rsidP="00AA174F">
      <w:pPr>
        <w:adjustRightInd w:val="0"/>
        <w:snapToGrid w:val="0"/>
        <w:rPr>
          <w:rFonts w:cs="Times New Roman"/>
        </w:rPr>
      </w:pPr>
    </w:p>
    <w:p w:rsidR="005D454F" w:rsidRDefault="005D454F" w:rsidP="00565696">
      <w:pPr>
        <w:widowControl/>
        <w:adjustRightInd w:val="0"/>
        <w:snapToGrid w:val="0"/>
        <w:ind w:firstLineChars="196" w:firstLine="31680"/>
        <w:rPr>
          <w:rFonts w:ascii="黑体" w:eastAsia="黑体" w:cs="Times New Roman"/>
          <w:b/>
          <w:bCs/>
          <w:sz w:val="28"/>
          <w:szCs w:val="28"/>
        </w:rPr>
      </w:pPr>
      <w:r>
        <w:rPr>
          <w:rFonts w:ascii="黑体" w:eastAsia="黑体" w:hAnsi="宋体" w:cs="黑体" w:hint="eastAsia"/>
          <w:b/>
          <w:bCs/>
          <w:sz w:val="28"/>
          <w:szCs w:val="28"/>
        </w:rPr>
        <w:t>三、考试范围与内容</w:t>
      </w:r>
    </w:p>
    <w:p w:rsidR="005D454F" w:rsidRDefault="005D454F" w:rsidP="00565696">
      <w:pPr>
        <w:adjustRightInd w:val="0"/>
        <w:snapToGrid w:val="0"/>
        <w:ind w:firstLineChars="196" w:firstLine="31680"/>
        <w:rPr>
          <w:rFonts w:ascii="仿宋_GB2312" w:eastAsia="仿宋_GB2312" w:cs="Times New Roman"/>
          <w:b/>
          <w:bCs/>
          <w:sz w:val="28"/>
          <w:szCs w:val="28"/>
        </w:rPr>
      </w:pPr>
      <w:r>
        <w:rPr>
          <w:rFonts w:ascii="仿宋_GB2312" w:eastAsia="仿宋_GB2312" w:hAnsi="宋体" w:cs="仿宋_GB2312" w:hint="eastAsia"/>
          <w:b/>
          <w:bCs/>
          <w:sz w:val="28"/>
          <w:szCs w:val="28"/>
        </w:rPr>
        <w:t>（一）学科专业知识</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1.</w:t>
      </w:r>
      <w:r w:rsidRPr="00566903">
        <w:rPr>
          <w:rFonts w:ascii="仿宋_GB2312" w:eastAsia="仿宋_GB2312" w:hAnsi="宋体" w:cs="仿宋_GB2312" w:hint="eastAsia"/>
          <w:snapToGrid w:val="0"/>
          <w:sz w:val="28"/>
          <w:szCs w:val="28"/>
        </w:rPr>
        <w:t>中学物理课程知识内容的考查，以我省现行中学物理教材为基本依据，考查内容为高中物理</w:t>
      </w:r>
      <w:r w:rsidRPr="00566903">
        <w:rPr>
          <w:rFonts w:ascii="仿宋_GB2312" w:eastAsia="仿宋_GB2312" w:hAnsi="宋体" w:cs="仿宋_GB2312"/>
          <w:snapToGrid w:val="0"/>
          <w:sz w:val="28"/>
          <w:szCs w:val="28"/>
        </w:rPr>
        <w:t>1</w:t>
      </w:r>
      <w:r w:rsidRPr="00566903">
        <w:rPr>
          <w:rFonts w:ascii="仿宋_GB2312" w:eastAsia="仿宋_GB2312" w:hAnsi="宋体" w:cs="仿宋_GB2312" w:hint="eastAsia"/>
          <w:snapToGrid w:val="0"/>
          <w:sz w:val="28"/>
          <w:szCs w:val="28"/>
        </w:rPr>
        <w:t>、物理</w:t>
      </w:r>
      <w:r w:rsidRPr="00566903">
        <w:rPr>
          <w:rFonts w:ascii="仿宋_GB2312" w:eastAsia="仿宋_GB2312" w:hAnsi="宋体" w:cs="仿宋_GB2312"/>
          <w:snapToGrid w:val="0"/>
          <w:sz w:val="28"/>
          <w:szCs w:val="28"/>
        </w:rPr>
        <w:t>2</w:t>
      </w:r>
      <w:r w:rsidRPr="00566903">
        <w:rPr>
          <w:rFonts w:ascii="仿宋_GB2312" w:eastAsia="仿宋_GB2312" w:hAnsi="宋体" w:cs="仿宋_GB2312" w:hint="eastAsia"/>
          <w:snapToGrid w:val="0"/>
          <w:sz w:val="28"/>
          <w:szCs w:val="28"/>
        </w:rPr>
        <w:t>、物理</w:t>
      </w:r>
      <w:r w:rsidRPr="00566903">
        <w:rPr>
          <w:rFonts w:ascii="仿宋_GB2312" w:eastAsia="仿宋_GB2312" w:hAnsi="宋体" w:cs="仿宋_GB2312"/>
          <w:snapToGrid w:val="0"/>
          <w:sz w:val="28"/>
          <w:szCs w:val="28"/>
        </w:rPr>
        <w:t>3</w:t>
      </w:r>
      <w:r w:rsidRPr="00566903">
        <w:rPr>
          <w:rFonts w:ascii="仿宋_GB2312" w:eastAsia="仿宋_GB2312" w:hAnsi="宋体" w:cs="仿宋_GB2312"/>
          <w:snapToGrid w:val="0"/>
          <w:sz w:val="28"/>
          <w:szCs w:val="28"/>
        </w:rPr>
        <w:t>—</w:t>
      </w:r>
      <w:r w:rsidRPr="00566903">
        <w:rPr>
          <w:rFonts w:ascii="仿宋_GB2312" w:eastAsia="仿宋_GB2312" w:hAnsi="宋体" w:cs="仿宋_GB2312"/>
          <w:snapToGrid w:val="0"/>
          <w:sz w:val="28"/>
          <w:szCs w:val="28"/>
        </w:rPr>
        <w:t>1</w:t>
      </w:r>
      <w:r w:rsidRPr="00566903">
        <w:rPr>
          <w:rFonts w:ascii="仿宋_GB2312" w:eastAsia="仿宋_GB2312" w:hAnsi="宋体" w:cs="仿宋_GB2312" w:hint="eastAsia"/>
          <w:snapToGrid w:val="0"/>
          <w:sz w:val="28"/>
          <w:szCs w:val="28"/>
        </w:rPr>
        <w:t>、</w:t>
      </w:r>
      <w:r w:rsidRPr="00566903">
        <w:rPr>
          <w:rFonts w:ascii="仿宋_GB2312" w:eastAsia="仿宋_GB2312" w:hAnsi="宋体" w:cs="仿宋_GB2312"/>
          <w:snapToGrid w:val="0"/>
          <w:sz w:val="28"/>
          <w:szCs w:val="28"/>
        </w:rPr>
        <w:t>3</w:t>
      </w:r>
      <w:r w:rsidRPr="00566903">
        <w:rPr>
          <w:rFonts w:ascii="仿宋_GB2312" w:eastAsia="仿宋_GB2312" w:hAnsi="宋体" w:cs="仿宋_GB2312"/>
          <w:snapToGrid w:val="0"/>
          <w:sz w:val="28"/>
          <w:szCs w:val="28"/>
        </w:rPr>
        <w:t>—</w:t>
      </w:r>
      <w:r w:rsidRPr="00566903">
        <w:rPr>
          <w:rFonts w:ascii="仿宋_GB2312" w:eastAsia="仿宋_GB2312" w:hAnsi="宋体" w:cs="仿宋_GB2312"/>
          <w:snapToGrid w:val="0"/>
          <w:sz w:val="28"/>
          <w:szCs w:val="28"/>
        </w:rPr>
        <w:t>2</w:t>
      </w:r>
      <w:r w:rsidRPr="00566903">
        <w:rPr>
          <w:rFonts w:ascii="仿宋_GB2312" w:eastAsia="仿宋_GB2312" w:hAnsi="宋体" w:cs="仿宋_GB2312" w:hint="eastAsia"/>
          <w:snapToGrid w:val="0"/>
          <w:sz w:val="28"/>
          <w:szCs w:val="28"/>
        </w:rPr>
        <w:t>、</w:t>
      </w:r>
      <w:r w:rsidRPr="00566903">
        <w:rPr>
          <w:rFonts w:ascii="仿宋_GB2312" w:eastAsia="仿宋_GB2312" w:hAnsi="宋体" w:cs="仿宋_GB2312"/>
          <w:snapToGrid w:val="0"/>
          <w:sz w:val="28"/>
          <w:szCs w:val="28"/>
        </w:rPr>
        <w:t>3</w:t>
      </w:r>
      <w:r w:rsidRPr="00566903">
        <w:rPr>
          <w:rFonts w:ascii="仿宋_GB2312" w:eastAsia="仿宋_GB2312" w:hAnsi="宋体" w:cs="仿宋_GB2312"/>
          <w:snapToGrid w:val="0"/>
          <w:sz w:val="28"/>
          <w:szCs w:val="28"/>
        </w:rPr>
        <w:t>—</w:t>
      </w:r>
      <w:r w:rsidRPr="00566903">
        <w:rPr>
          <w:rFonts w:ascii="仿宋_GB2312" w:eastAsia="仿宋_GB2312" w:hAnsi="宋体" w:cs="仿宋_GB2312"/>
          <w:snapToGrid w:val="0"/>
          <w:sz w:val="28"/>
          <w:szCs w:val="28"/>
        </w:rPr>
        <w:t>3</w:t>
      </w:r>
      <w:r w:rsidRPr="00566903">
        <w:rPr>
          <w:rFonts w:ascii="仿宋_GB2312" w:eastAsia="仿宋_GB2312" w:hAnsi="宋体" w:cs="仿宋_GB2312" w:hint="eastAsia"/>
          <w:snapToGrid w:val="0"/>
          <w:sz w:val="28"/>
          <w:szCs w:val="28"/>
        </w:rPr>
        <w:t>、</w:t>
      </w:r>
      <w:r w:rsidRPr="00566903">
        <w:rPr>
          <w:rFonts w:ascii="仿宋_GB2312" w:eastAsia="仿宋_GB2312" w:hAnsi="宋体" w:cs="仿宋_GB2312"/>
          <w:snapToGrid w:val="0"/>
          <w:sz w:val="28"/>
          <w:szCs w:val="28"/>
        </w:rPr>
        <w:t>3</w:t>
      </w:r>
      <w:r w:rsidRPr="00566903">
        <w:rPr>
          <w:rFonts w:ascii="仿宋_GB2312" w:eastAsia="仿宋_GB2312" w:hAnsi="宋体" w:cs="仿宋_GB2312"/>
          <w:snapToGrid w:val="0"/>
          <w:sz w:val="28"/>
          <w:szCs w:val="28"/>
        </w:rPr>
        <w:t>—</w:t>
      </w:r>
      <w:r w:rsidRPr="00566903">
        <w:rPr>
          <w:rFonts w:ascii="仿宋_GB2312" w:eastAsia="仿宋_GB2312" w:hAnsi="宋体" w:cs="仿宋_GB2312"/>
          <w:snapToGrid w:val="0"/>
          <w:sz w:val="28"/>
          <w:szCs w:val="28"/>
        </w:rPr>
        <w:t>4</w:t>
      </w:r>
      <w:r w:rsidRPr="00566903">
        <w:rPr>
          <w:rFonts w:ascii="仿宋_GB2312" w:eastAsia="仿宋_GB2312" w:hAnsi="宋体" w:cs="仿宋_GB2312" w:hint="eastAsia"/>
          <w:snapToGrid w:val="0"/>
          <w:sz w:val="28"/>
          <w:szCs w:val="28"/>
        </w:rPr>
        <w:t>和</w:t>
      </w:r>
      <w:r w:rsidRPr="00566903">
        <w:rPr>
          <w:rFonts w:ascii="仿宋_GB2312" w:eastAsia="仿宋_GB2312" w:hAnsi="宋体" w:cs="仿宋_GB2312"/>
          <w:snapToGrid w:val="0"/>
          <w:sz w:val="28"/>
          <w:szCs w:val="28"/>
        </w:rPr>
        <w:t>3</w:t>
      </w:r>
      <w:r w:rsidRPr="00566903">
        <w:rPr>
          <w:rFonts w:ascii="仿宋_GB2312" w:eastAsia="仿宋_GB2312" w:hAnsi="宋体" w:cs="仿宋_GB2312"/>
          <w:snapToGrid w:val="0"/>
          <w:sz w:val="28"/>
          <w:szCs w:val="28"/>
        </w:rPr>
        <w:t>—</w:t>
      </w:r>
      <w:r w:rsidRPr="00566903">
        <w:rPr>
          <w:rFonts w:ascii="仿宋_GB2312" w:eastAsia="仿宋_GB2312" w:hAnsi="宋体" w:cs="仿宋_GB2312"/>
          <w:snapToGrid w:val="0"/>
          <w:sz w:val="28"/>
          <w:szCs w:val="28"/>
        </w:rPr>
        <w:t>5</w:t>
      </w:r>
      <w:r w:rsidRPr="00566903">
        <w:rPr>
          <w:rFonts w:ascii="仿宋_GB2312" w:eastAsia="仿宋_GB2312" w:hAnsi="宋体" w:cs="仿宋_GB2312" w:hint="eastAsia"/>
          <w:snapToGrid w:val="0"/>
          <w:sz w:val="28"/>
          <w:szCs w:val="28"/>
        </w:rPr>
        <w:t>等七个模块的内容，具体内容见表</w:t>
      </w:r>
      <w:r w:rsidRPr="00566903">
        <w:rPr>
          <w:rFonts w:ascii="仿宋_GB2312" w:eastAsia="仿宋_GB2312" w:hAnsi="宋体" w:cs="仿宋_GB2312"/>
          <w:snapToGrid w:val="0"/>
          <w:sz w:val="28"/>
          <w:szCs w:val="28"/>
        </w:rPr>
        <w:t>1</w:t>
      </w:r>
      <w:r w:rsidRPr="00566903">
        <w:rPr>
          <w:rFonts w:ascii="仿宋_GB2312" w:eastAsia="仿宋_GB2312" w:hAnsi="宋体" w:cs="仿宋_GB2312" w:hint="eastAsia"/>
          <w:snapToGrid w:val="0"/>
          <w:sz w:val="28"/>
          <w:szCs w:val="28"/>
        </w:rPr>
        <w:t>。</w:t>
      </w:r>
    </w:p>
    <w:p w:rsidR="005D454F" w:rsidRPr="00566903" w:rsidRDefault="005D454F" w:rsidP="00565696">
      <w:pPr>
        <w:adjustRightInd w:val="0"/>
        <w:snapToGrid w:val="0"/>
        <w:spacing w:line="440" w:lineRule="exact"/>
        <w:ind w:firstLineChars="200" w:firstLine="31680"/>
        <w:rPr>
          <w:rFonts w:ascii="仿宋_GB2312" w:eastAsia="仿宋_GB2312" w:hAnsi="宋体" w:cs="仿宋_GB2312"/>
          <w:snapToGrid w:val="0"/>
          <w:sz w:val="28"/>
          <w:szCs w:val="28"/>
        </w:rPr>
      </w:pPr>
      <w:r w:rsidRPr="00566903">
        <w:rPr>
          <w:rFonts w:ascii="仿宋_GB2312" w:eastAsia="仿宋_GB2312" w:hAnsi="宋体" w:cs="仿宋_GB2312" w:hint="eastAsia"/>
          <w:snapToGrid w:val="0"/>
          <w:sz w:val="28"/>
          <w:szCs w:val="28"/>
        </w:rPr>
        <w:t>表</w:t>
      </w:r>
      <w:r w:rsidRPr="00566903">
        <w:rPr>
          <w:rFonts w:ascii="仿宋_GB2312" w:eastAsia="仿宋_GB2312" w:hAnsi="宋体" w:cs="仿宋_GB2312"/>
          <w:snapToGrid w:val="0"/>
          <w:sz w:val="28"/>
          <w:szCs w:val="28"/>
        </w:rPr>
        <w:t xml:space="preserve">1 </w:t>
      </w:r>
    </w:p>
    <w:p w:rsidR="005D454F" w:rsidRDefault="005D454F" w:rsidP="00AA174F">
      <w:pPr>
        <w:widowControl/>
        <w:adjustRightInd w:val="0"/>
        <w:snapToGrid w:val="0"/>
        <w:jc w:val="left"/>
        <w:rPr>
          <w:rFonts w:ascii="宋体" w:cs="Times New Roman"/>
          <w:sz w:val="24"/>
          <w:szCs w:val="24"/>
        </w:rPr>
      </w:pP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tblPr>
      <w:tblGrid>
        <w:gridCol w:w="2565"/>
        <w:gridCol w:w="5385"/>
      </w:tblGrid>
      <w:tr w:rsidR="005D454F">
        <w:trPr>
          <w:trHeight w:val="375"/>
          <w:tblCellSpacing w:w="0" w:type="dxa"/>
          <w:jc w:val="center"/>
        </w:trPr>
        <w:tc>
          <w:tcPr>
            <w:tcW w:w="2565" w:type="dxa"/>
            <w:shd w:val="clear" w:color="auto" w:fill="FFFFFF"/>
            <w:vAlign w:val="center"/>
          </w:tcPr>
          <w:p w:rsidR="005D454F" w:rsidRDefault="005D454F" w:rsidP="00284C49">
            <w:pPr>
              <w:widowControl/>
              <w:adjustRightInd w:val="0"/>
              <w:snapToGrid w:val="0"/>
              <w:jc w:val="center"/>
              <w:rPr>
                <w:rFonts w:ascii="宋体" w:cs="Times New Roman"/>
                <w:sz w:val="24"/>
                <w:szCs w:val="24"/>
              </w:rPr>
            </w:pPr>
            <w:r>
              <w:rPr>
                <w:rFonts w:ascii="宋体" w:hAnsi="宋体" w:cs="宋体" w:hint="eastAsia"/>
                <w:b/>
                <w:bCs/>
                <w:sz w:val="24"/>
                <w:szCs w:val="24"/>
              </w:rPr>
              <w:t>模</w:t>
            </w:r>
            <w:r>
              <w:rPr>
                <w:rFonts w:ascii="宋体" w:cs="Times New Roman"/>
                <w:sz w:val="24"/>
                <w:szCs w:val="24"/>
              </w:rPr>
              <w:t>   </w:t>
            </w:r>
            <w:r>
              <w:rPr>
                <w:rFonts w:ascii="宋体" w:hAnsi="宋体" w:cs="宋体" w:hint="eastAsia"/>
                <w:b/>
                <w:bCs/>
                <w:sz w:val="24"/>
                <w:szCs w:val="24"/>
              </w:rPr>
              <w:t>块</w:t>
            </w:r>
          </w:p>
        </w:tc>
        <w:tc>
          <w:tcPr>
            <w:tcW w:w="5385" w:type="dxa"/>
            <w:shd w:val="clear" w:color="auto" w:fill="FFFFFF"/>
            <w:vAlign w:val="center"/>
          </w:tcPr>
          <w:p w:rsidR="005D454F" w:rsidRDefault="005D454F" w:rsidP="00284C49">
            <w:pPr>
              <w:widowControl/>
              <w:adjustRightInd w:val="0"/>
              <w:snapToGrid w:val="0"/>
              <w:jc w:val="center"/>
              <w:rPr>
                <w:rFonts w:ascii="宋体" w:cs="Times New Roman"/>
                <w:sz w:val="24"/>
                <w:szCs w:val="24"/>
              </w:rPr>
            </w:pPr>
            <w:r>
              <w:rPr>
                <w:rFonts w:ascii="宋体" w:hAnsi="宋体" w:cs="宋体" w:hint="eastAsia"/>
                <w:b/>
                <w:bCs/>
                <w:sz w:val="24"/>
                <w:szCs w:val="24"/>
              </w:rPr>
              <w:t>主</w:t>
            </w:r>
            <w:r>
              <w:rPr>
                <w:rFonts w:ascii="宋体" w:cs="Times New Roman"/>
                <w:sz w:val="24"/>
                <w:szCs w:val="24"/>
              </w:rPr>
              <w:t>    </w:t>
            </w:r>
            <w:r>
              <w:rPr>
                <w:rFonts w:ascii="宋体" w:hAnsi="宋体" w:cs="宋体" w:hint="eastAsia"/>
                <w:b/>
                <w:bCs/>
                <w:sz w:val="24"/>
                <w:szCs w:val="24"/>
              </w:rPr>
              <w:t>题</w:t>
            </w:r>
          </w:p>
        </w:tc>
      </w:tr>
      <w:tr w:rsidR="005D454F">
        <w:trPr>
          <w:trHeight w:val="585"/>
          <w:tblCellSpacing w:w="0" w:type="dxa"/>
          <w:jc w:val="center"/>
        </w:trPr>
        <w:tc>
          <w:tcPr>
            <w:tcW w:w="256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仿宋_GB2312"/>
                <w:snapToGrid w:val="0"/>
                <w:sz w:val="28"/>
                <w:szCs w:val="28"/>
              </w:rPr>
            </w:pPr>
            <w:r w:rsidRPr="00566903">
              <w:rPr>
                <w:rFonts w:ascii="仿宋_GB2312" w:eastAsia="仿宋_GB2312" w:hAnsi="宋体" w:cs="仿宋_GB2312" w:hint="eastAsia"/>
                <w:snapToGrid w:val="0"/>
                <w:sz w:val="28"/>
                <w:szCs w:val="28"/>
              </w:rPr>
              <w:t>物理</w:t>
            </w:r>
            <w:r w:rsidRPr="00566903">
              <w:rPr>
                <w:rFonts w:ascii="仿宋_GB2312" w:eastAsia="仿宋_GB2312" w:hAnsi="宋体" w:cs="仿宋_GB2312"/>
                <w:snapToGrid w:val="0"/>
                <w:sz w:val="28"/>
                <w:szCs w:val="28"/>
              </w:rPr>
              <w:t>1</w:t>
            </w:r>
          </w:p>
        </w:tc>
        <w:tc>
          <w:tcPr>
            <w:tcW w:w="538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运动的描述</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匀变速直线运动的研究</w:t>
            </w:r>
            <w:r w:rsidRPr="00566903">
              <w:rPr>
                <w:rFonts w:ascii="仿宋_GB2312" w:eastAsia="仿宋_GB2312" w:hAnsi="宋体" w:cs="Times New Roman"/>
                <w:snapToGrid w:val="0"/>
                <w:sz w:val="28"/>
                <w:szCs w:val="28"/>
              </w:rPr>
              <w:br/>
            </w:r>
            <w:r w:rsidRPr="00566903">
              <w:rPr>
                <w:rFonts w:ascii="仿宋_GB2312" w:eastAsia="仿宋_GB2312" w:hAnsi="宋体" w:cs="仿宋_GB2312" w:hint="eastAsia"/>
                <w:snapToGrid w:val="0"/>
                <w:sz w:val="28"/>
                <w:szCs w:val="28"/>
              </w:rPr>
              <w:t>相互作用</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牛顿运动规律</w:t>
            </w:r>
          </w:p>
        </w:tc>
      </w:tr>
      <w:tr w:rsidR="005D454F">
        <w:trPr>
          <w:trHeight w:val="915"/>
          <w:tblCellSpacing w:w="0" w:type="dxa"/>
          <w:jc w:val="center"/>
        </w:trPr>
        <w:tc>
          <w:tcPr>
            <w:tcW w:w="256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仿宋_GB2312"/>
                <w:snapToGrid w:val="0"/>
                <w:sz w:val="28"/>
                <w:szCs w:val="28"/>
              </w:rPr>
            </w:pPr>
            <w:r w:rsidRPr="00566903">
              <w:rPr>
                <w:rFonts w:ascii="仿宋_GB2312" w:eastAsia="仿宋_GB2312" w:hAnsi="宋体" w:cs="仿宋_GB2312" w:hint="eastAsia"/>
                <w:snapToGrid w:val="0"/>
                <w:sz w:val="28"/>
                <w:szCs w:val="28"/>
              </w:rPr>
              <w:t>物理</w:t>
            </w:r>
            <w:r w:rsidRPr="00566903">
              <w:rPr>
                <w:rFonts w:ascii="仿宋_GB2312" w:eastAsia="仿宋_GB2312" w:hAnsi="宋体" w:cs="仿宋_GB2312"/>
                <w:snapToGrid w:val="0"/>
                <w:sz w:val="28"/>
                <w:szCs w:val="28"/>
              </w:rPr>
              <w:t>2</w:t>
            </w:r>
          </w:p>
        </w:tc>
        <w:tc>
          <w:tcPr>
            <w:tcW w:w="538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曲线运动</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万有引力与航天</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机械能守恒定律</w:t>
            </w:r>
          </w:p>
        </w:tc>
      </w:tr>
      <w:tr w:rsidR="005D454F">
        <w:trPr>
          <w:trHeight w:val="465"/>
          <w:tblCellSpacing w:w="0" w:type="dxa"/>
          <w:jc w:val="center"/>
        </w:trPr>
        <w:tc>
          <w:tcPr>
            <w:tcW w:w="256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仿宋_GB2312"/>
                <w:snapToGrid w:val="0"/>
                <w:sz w:val="28"/>
                <w:szCs w:val="28"/>
              </w:rPr>
            </w:pPr>
            <w:r w:rsidRPr="00566903">
              <w:rPr>
                <w:rFonts w:ascii="仿宋_GB2312" w:eastAsia="仿宋_GB2312" w:hAnsi="宋体" w:cs="仿宋_GB2312" w:hint="eastAsia"/>
                <w:snapToGrid w:val="0"/>
                <w:sz w:val="28"/>
                <w:szCs w:val="28"/>
              </w:rPr>
              <w:t>选修</w:t>
            </w:r>
            <w:r w:rsidRPr="00566903">
              <w:rPr>
                <w:rFonts w:ascii="仿宋_GB2312" w:eastAsia="仿宋_GB2312" w:hAnsi="宋体" w:cs="仿宋_GB2312"/>
                <w:snapToGrid w:val="0"/>
                <w:sz w:val="28"/>
                <w:szCs w:val="28"/>
              </w:rPr>
              <w:t>3</w:t>
            </w:r>
            <w:r w:rsidRPr="00566903">
              <w:rPr>
                <w:rFonts w:ascii="仿宋_GB2312" w:eastAsia="仿宋_GB2312" w:hAnsi="宋体" w:cs="仿宋_GB2312" w:hint="eastAsia"/>
                <w:snapToGrid w:val="0"/>
                <w:sz w:val="28"/>
                <w:szCs w:val="28"/>
              </w:rPr>
              <w:t>－</w:t>
            </w:r>
            <w:r w:rsidRPr="00566903">
              <w:rPr>
                <w:rFonts w:ascii="仿宋_GB2312" w:eastAsia="仿宋_GB2312" w:hAnsi="宋体" w:cs="仿宋_GB2312"/>
                <w:snapToGrid w:val="0"/>
                <w:sz w:val="28"/>
                <w:szCs w:val="28"/>
              </w:rPr>
              <w:t>1</w:t>
            </w:r>
          </w:p>
        </w:tc>
        <w:tc>
          <w:tcPr>
            <w:tcW w:w="538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静电场</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恒定电流</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磁场</w:t>
            </w:r>
          </w:p>
        </w:tc>
      </w:tr>
      <w:tr w:rsidR="005D454F">
        <w:trPr>
          <w:trHeight w:val="675"/>
          <w:tblCellSpacing w:w="0" w:type="dxa"/>
          <w:jc w:val="center"/>
        </w:trPr>
        <w:tc>
          <w:tcPr>
            <w:tcW w:w="256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仿宋_GB2312"/>
                <w:snapToGrid w:val="0"/>
                <w:sz w:val="28"/>
                <w:szCs w:val="28"/>
              </w:rPr>
            </w:pPr>
            <w:r w:rsidRPr="00566903">
              <w:rPr>
                <w:rFonts w:ascii="仿宋_GB2312" w:eastAsia="仿宋_GB2312" w:hAnsi="宋体" w:cs="仿宋_GB2312" w:hint="eastAsia"/>
                <w:snapToGrid w:val="0"/>
                <w:sz w:val="28"/>
                <w:szCs w:val="28"/>
              </w:rPr>
              <w:t>选修</w:t>
            </w:r>
            <w:r w:rsidRPr="00566903">
              <w:rPr>
                <w:rFonts w:ascii="仿宋_GB2312" w:eastAsia="仿宋_GB2312" w:hAnsi="宋体" w:cs="仿宋_GB2312"/>
                <w:snapToGrid w:val="0"/>
                <w:sz w:val="28"/>
                <w:szCs w:val="28"/>
              </w:rPr>
              <w:t>3</w:t>
            </w:r>
            <w:r w:rsidRPr="00566903">
              <w:rPr>
                <w:rFonts w:ascii="仿宋_GB2312" w:eastAsia="仿宋_GB2312" w:hAnsi="宋体" w:cs="仿宋_GB2312" w:hint="eastAsia"/>
                <w:snapToGrid w:val="0"/>
                <w:sz w:val="28"/>
                <w:szCs w:val="28"/>
              </w:rPr>
              <w:t>－</w:t>
            </w:r>
            <w:r w:rsidRPr="00566903">
              <w:rPr>
                <w:rFonts w:ascii="仿宋_GB2312" w:eastAsia="仿宋_GB2312" w:hAnsi="宋体" w:cs="仿宋_GB2312"/>
                <w:snapToGrid w:val="0"/>
                <w:sz w:val="28"/>
                <w:szCs w:val="28"/>
              </w:rPr>
              <w:t>2</w:t>
            </w:r>
          </w:p>
        </w:tc>
        <w:tc>
          <w:tcPr>
            <w:tcW w:w="538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电磁感应</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交变电流</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p>
        </w:tc>
      </w:tr>
      <w:tr w:rsidR="005D454F">
        <w:trPr>
          <w:trHeight w:val="1095"/>
          <w:tblCellSpacing w:w="0" w:type="dxa"/>
          <w:jc w:val="center"/>
        </w:trPr>
        <w:tc>
          <w:tcPr>
            <w:tcW w:w="256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仿宋_GB2312"/>
                <w:snapToGrid w:val="0"/>
                <w:sz w:val="28"/>
                <w:szCs w:val="28"/>
              </w:rPr>
            </w:pPr>
            <w:r w:rsidRPr="00566903">
              <w:rPr>
                <w:rFonts w:ascii="仿宋_GB2312" w:eastAsia="仿宋_GB2312" w:hAnsi="宋体" w:cs="仿宋_GB2312" w:hint="eastAsia"/>
                <w:snapToGrid w:val="0"/>
                <w:sz w:val="28"/>
                <w:szCs w:val="28"/>
              </w:rPr>
              <w:t>选修</w:t>
            </w:r>
            <w:r w:rsidRPr="00566903">
              <w:rPr>
                <w:rFonts w:ascii="仿宋_GB2312" w:eastAsia="仿宋_GB2312" w:hAnsi="宋体" w:cs="仿宋_GB2312"/>
                <w:snapToGrid w:val="0"/>
                <w:sz w:val="28"/>
                <w:szCs w:val="28"/>
              </w:rPr>
              <w:t>3</w:t>
            </w:r>
            <w:r w:rsidRPr="00566903">
              <w:rPr>
                <w:rFonts w:ascii="仿宋_GB2312" w:eastAsia="仿宋_GB2312" w:hAnsi="宋体" w:cs="仿宋_GB2312" w:hint="eastAsia"/>
                <w:snapToGrid w:val="0"/>
                <w:sz w:val="28"/>
                <w:szCs w:val="28"/>
              </w:rPr>
              <w:t>－</w:t>
            </w:r>
            <w:r w:rsidRPr="00566903">
              <w:rPr>
                <w:rFonts w:ascii="仿宋_GB2312" w:eastAsia="仿宋_GB2312" w:hAnsi="宋体" w:cs="仿宋_GB2312"/>
                <w:snapToGrid w:val="0"/>
                <w:sz w:val="28"/>
                <w:szCs w:val="28"/>
              </w:rPr>
              <w:t>3</w:t>
            </w:r>
          </w:p>
        </w:tc>
        <w:tc>
          <w:tcPr>
            <w:tcW w:w="538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分子动理论</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气体</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热力学定律</w:t>
            </w:r>
          </w:p>
        </w:tc>
      </w:tr>
      <w:tr w:rsidR="005D454F">
        <w:trPr>
          <w:trHeight w:val="1275"/>
          <w:tblCellSpacing w:w="0" w:type="dxa"/>
          <w:jc w:val="center"/>
        </w:trPr>
        <w:tc>
          <w:tcPr>
            <w:tcW w:w="256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仿宋_GB2312"/>
                <w:snapToGrid w:val="0"/>
                <w:sz w:val="28"/>
                <w:szCs w:val="28"/>
              </w:rPr>
            </w:pPr>
            <w:r w:rsidRPr="00566903">
              <w:rPr>
                <w:rFonts w:ascii="仿宋_GB2312" w:eastAsia="仿宋_GB2312" w:hAnsi="宋体" w:cs="仿宋_GB2312" w:hint="eastAsia"/>
                <w:snapToGrid w:val="0"/>
                <w:sz w:val="28"/>
                <w:szCs w:val="28"/>
              </w:rPr>
              <w:t>选修</w:t>
            </w:r>
            <w:r w:rsidRPr="00566903">
              <w:rPr>
                <w:rFonts w:ascii="仿宋_GB2312" w:eastAsia="仿宋_GB2312" w:hAnsi="宋体" w:cs="仿宋_GB2312"/>
                <w:snapToGrid w:val="0"/>
                <w:sz w:val="28"/>
                <w:szCs w:val="28"/>
              </w:rPr>
              <w:t>3</w:t>
            </w:r>
            <w:r w:rsidRPr="00566903">
              <w:rPr>
                <w:rFonts w:ascii="仿宋_GB2312" w:eastAsia="仿宋_GB2312" w:hAnsi="宋体" w:cs="仿宋_GB2312" w:hint="eastAsia"/>
                <w:snapToGrid w:val="0"/>
                <w:sz w:val="28"/>
                <w:szCs w:val="28"/>
              </w:rPr>
              <w:t>－</w:t>
            </w:r>
            <w:r w:rsidRPr="00566903">
              <w:rPr>
                <w:rFonts w:ascii="仿宋_GB2312" w:eastAsia="仿宋_GB2312" w:hAnsi="宋体" w:cs="仿宋_GB2312"/>
                <w:snapToGrid w:val="0"/>
                <w:sz w:val="28"/>
                <w:szCs w:val="28"/>
              </w:rPr>
              <w:t>4</w:t>
            </w:r>
          </w:p>
        </w:tc>
        <w:tc>
          <w:tcPr>
            <w:tcW w:w="538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机械振动</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机械波</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光</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电磁波</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相对论简介</w:t>
            </w:r>
          </w:p>
        </w:tc>
      </w:tr>
      <w:tr w:rsidR="005D454F">
        <w:trPr>
          <w:tblCellSpacing w:w="0" w:type="dxa"/>
          <w:jc w:val="center"/>
        </w:trPr>
        <w:tc>
          <w:tcPr>
            <w:tcW w:w="256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仿宋_GB2312"/>
                <w:snapToGrid w:val="0"/>
                <w:sz w:val="28"/>
                <w:szCs w:val="28"/>
              </w:rPr>
            </w:pPr>
            <w:r w:rsidRPr="00566903">
              <w:rPr>
                <w:rFonts w:ascii="仿宋_GB2312" w:eastAsia="仿宋_GB2312" w:hAnsi="宋体" w:cs="仿宋_GB2312" w:hint="eastAsia"/>
                <w:snapToGrid w:val="0"/>
                <w:sz w:val="28"/>
                <w:szCs w:val="28"/>
              </w:rPr>
              <w:t>选修</w:t>
            </w:r>
            <w:r w:rsidRPr="00566903">
              <w:rPr>
                <w:rFonts w:ascii="仿宋_GB2312" w:eastAsia="仿宋_GB2312" w:hAnsi="宋体" w:cs="仿宋_GB2312"/>
                <w:snapToGrid w:val="0"/>
                <w:sz w:val="28"/>
                <w:szCs w:val="28"/>
              </w:rPr>
              <w:t>3</w:t>
            </w:r>
            <w:r w:rsidRPr="00566903">
              <w:rPr>
                <w:rFonts w:ascii="仿宋_GB2312" w:eastAsia="仿宋_GB2312" w:hAnsi="宋体" w:cs="仿宋_GB2312" w:hint="eastAsia"/>
                <w:snapToGrid w:val="0"/>
                <w:sz w:val="28"/>
                <w:szCs w:val="28"/>
              </w:rPr>
              <w:t>－</w:t>
            </w:r>
            <w:r w:rsidRPr="00566903">
              <w:rPr>
                <w:rFonts w:ascii="仿宋_GB2312" w:eastAsia="仿宋_GB2312" w:hAnsi="宋体" w:cs="仿宋_GB2312"/>
                <w:snapToGrid w:val="0"/>
                <w:sz w:val="28"/>
                <w:szCs w:val="28"/>
              </w:rPr>
              <w:t>5</w:t>
            </w:r>
          </w:p>
        </w:tc>
        <w:tc>
          <w:tcPr>
            <w:tcW w:w="5385" w:type="dxa"/>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动量守恒定律</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原子结构</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原子核</w:t>
            </w:r>
          </w:p>
        </w:tc>
      </w:tr>
    </w:tbl>
    <w:p w:rsidR="005D454F" w:rsidRDefault="005D454F" w:rsidP="00AA174F">
      <w:pPr>
        <w:adjustRightInd w:val="0"/>
        <w:snapToGrid w:val="0"/>
        <w:ind w:firstLine="420"/>
        <w:rPr>
          <w:rFonts w:ascii="楷体_GB2312" w:eastAsia="楷体_GB2312" w:hAnsi="??" w:cs="Times New Roman"/>
          <w:sz w:val="28"/>
          <w:szCs w:val="28"/>
        </w:rPr>
      </w:pPr>
      <w:r>
        <w:rPr>
          <w:rFonts w:ascii="宋体" w:cs="Times New Roman"/>
          <w:sz w:val="24"/>
          <w:szCs w:val="24"/>
        </w:rPr>
        <w:t> </w:t>
      </w:r>
    </w:p>
    <w:p w:rsidR="005D454F" w:rsidRDefault="005D454F" w:rsidP="00AA174F">
      <w:pPr>
        <w:adjustRightInd w:val="0"/>
        <w:snapToGrid w:val="0"/>
        <w:ind w:firstLine="420"/>
        <w:rPr>
          <w:rFonts w:ascii="楷体_GB2312" w:eastAsia="楷体_GB2312" w:hAnsi="??" w:cs="Times New Roman"/>
          <w:sz w:val="28"/>
          <w:szCs w:val="28"/>
        </w:rPr>
      </w:pP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2.</w:t>
      </w:r>
      <w:r w:rsidRPr="00566903">
        <w:rPr>
          <w:rFonts w:ascii="仿宋_GB2312" w:eastAsia="仿宋_GB2312" w:hAnsi="宋体" w:cs="仿宋_GB2312" w:hint="eastAsia"/>
          <w:snapToGrid w:val="0"/>
          <w:sz w:val="28"/>
          <w:szCs w:val="28"/>
        </w:rPr>
        <w:t>普通物理学内容的考查，以力学、电磁学、热学和光学中的基本部分为主，具体内容见表</w:t>
      </w:r>
      <w:r w:rsidRPr="00566903">
        <w:rPr>
          <w:rFonts w:ascii="仿宋_GB2312" w:eastAsia="仿宋_GB2312" w:hAnsi="宋体" w:cs="仿宋_GB2312"/>
          <w:snapToGrid w:val="0"/>
          <w:sz w:val="28"/>
          <w:szCs w:val="28"/>
        </w:rPr>
        <w:t>2</w:t>
      </w:r>
      <w:r w:rsidRPr="00566903">
        <w:rPr>
          <w:rFonts w:ascii="仿宋_GB2312" w:eastAsia="仿宋_GB2312" w:hAnsi="宋体" w:cs="仿宋_GB2312" w:hint="eastAsia"/>
          <w:snapToGrid w:val="0"/>
          <w:sz w:val="28"/>
          <w:szCs w:val="28"/>
        </w:rPr>
        <w:t>。</w:t>
      </w:r>
    </w:p>
    <w:p w:rsidR="005D454F" w:rsidRDefault="005D454F" w:rsidP="00AA174F">
      <w:pPr>
        <w:adjustRightInd w:val="0"/>
        <w:snapToGrid w:val="0"/>
        <w:rPr>
          <w:rFonts w:cs="Times New Roman"/>
          <w:sz w:val="24"/>
          <w:szCs w:val="24"/>
        </w:rPr>
      </w:pPr>
    </w:p>
    <w:p w:rsidR="005D454F" w:rsidRDefault="005D454F" w:rsidP="00565696">
      <w:pPr>
        <w:adjustRightInd w:val="0"/>
        <w:snapToGrid w:val="0"/>
        <w:ind w:firstLineChars="250" w:firstLine="31680"/>
        <w:rPr>
          <w:sz w:val="24"/>
          <w:szCs w:val="24"/>
        </w:rPr>
      </w:pPr>
      <w:r>
        <w:rPr>
          <w:rFonts w:cs="宋体" w:hint="eastAsia"/>
          <w:sz w:val="24"/>
          <w:szCs w:val="24"/>
        </w:rPr>
        <w:t>表</w:t>
      </w:r>
      <w:r>
        <w:rPr>
          <w:sz w:val="24"/>
          <w:szCs w:val="24"/>
        </w:rPr>
        <w:t xml:space="preserve">2   </w:t>
      </w:r>
    </w:p>
    <w:p w:rsidR="005D454F" w:rsidRDefault="005D454F" w:rsidP="00AA174F">
      <w:pPr>
        <w:adjustRightInd w:val="0"/>
        <w:snapToGrid w:val="0"/>
        <w:rPr>
          <w:rFonts w:cs="Times New Roman"/>
          <w:sz w:val="24"/>
          <w:szCs w:val="24"/>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2565"/>
        <w:gridCol w:w="5385"/>
      </w:tblGrid>
      <w:tr w:rsidR="005D454F">
        <w:trPr>
          <w:trHeight w:val="465"/>
          <w:tblCellSpacing w:w="0" w:type="dxa"/>
          <w:jc w:val="center"/>
        </w:trPr>
        <w:tc>
          <w:tcPr>
            <w:tcW w:w="2565" w:type="dxa"/>
            <w:tcBorders>
              <w:top w:val="outset" w:sz="6" w:space="0" w:color="auto"/>
              <w:bottom w:val="outset" w:sz="6" w:space="0" w:color="auto"/>
              <w:right w:val="outset" w:sz="6" w:space="0" w:color="auto"/>
            </w:tcBorders>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力学</w:t>
            </w:r>
          </w:p>
        </w:tc>
        <w:tc>
          <w:tcPr>
            <w:tcW w:w="5385" w:type="dxa"/>
            <w:tcBorders>
              <w:top w:val="outset" w:sz="6" w:space="0" w:color="auto"/>
              <w:left w:val="outset" w:sz="6" w:space="0" w:color="auto"/>
              <w:bottom w:val="outset" w:sz="6" w:space="0" w:color="auto"/>
            </w:tcBorders>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质点运动学</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质点动力学</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动量守恒</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机械能守恒</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机械振动和机械波</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万有引力</w:t>
            </w:r>
          </w:p>
        </w:tc>
      </w:tr>
      <w:tr w:rsidR="005D454F">
        <w:trPr>
          <w:trHeight w:val="465"/>
          <w:tblCellSpacing w:w="0" w:type="dxa"/>
          <w:jc w:val="center"/>
        </w:trPr>
        <w:tc>
          <w:tcPr>
            <w:tcW w:w="2565" w:type="dxa"/>
            <w:tcBorders>
              <w:top w:val="outset" w:sz="6" w:space="0" w:color="auto"/>
              <w:bottom w:val="outset" w:sz="6" w:space="0" w:color="auto"/>
              <w:right w:val="outset" w:sz="6" w:space="0" w:color="auto"/>
            </w:tcBorders>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电磁学</w:t>
            </w:r>
          </w:p>
        </w:tc>
        <w:tc>
          <w:tcPr>
            <w:tcW w:w="5385" w:type="dxa"/>
            <w:tcBorders>
              <w:top w:val="outset" w:sz="6" w:space="0" w:color="auto"/>
              <w:left w:val="outset" w:sz="6" w:space="0" w:color="auto"/>
              <w:bottom w:val="outset" w:sz="6" w:space="0" w:color="auto"/>
            </w:tcBorders>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静止电荷的电场</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恒定电流的磁场</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电路</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电磁感应</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麦克斯韦电磁理论</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电磁波</w:t>
            </w:r>
          </w:p>
        </w:tc>
      </w:tr>
      <w:tr w:rsidR="005D454F">
        <w:trPr>
          <w:trHeight w:val="465"/>
          <w:tblCellSpacing w:w="0" w:type="dxa"/>
          <w:jc w:val="center"/>
        </w:trPr>
        <w:tc>
          <w:tcPr>
            <w:tcW w:w="2565" w:type="dxa"/>
            <w:tcBorders>
              <w:top w:val="outset" w:sz="6" w:space="0" w:color="auto"/>
              <w:bottom w:val="outset" w:sz="6" w:space="0" w:color="auto"/>
              <w:right w:val="outset" w:sz="6" w:space="0" w:color="auto"/>
            </w:tcBorders>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热学</w:t>
            </w:r>
          </w:p>
        </w:tc>
        <w:tc>
          <w:tcPr>
            <w:tcW w:w="5385" w:type="dxa"/>
            <w:tcBorders>
              <w:top w:val="outset" w:sz="6" w:space="0" w:color="auto"/>
              <w:left w:val="outset" w:sz="6" w:space="0" w:color="auto"/>
              <w:bottom w:val="outset" w:sz="6" w:space="0" w:color="auto"/>
            </w:tcBorders>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热力学第一定律</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热力学第二定律</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理想气体</w:t>
            </w:r>
          </w:p>
        </w:tc>
      </w:tr>
      <w:tr w:rsidR="005D454F">
        <w:trPr>
          <w:trHeight w:val="465"/>
          <w:tblCellSpacing w:w="0" w:type="dxa"/>
          <w:jc w:val="center"/>
        </w:trPr>
        <w:tc>
          <w:tcPr>
            <w:tcW w:w="2565" w:type="dxa"/>
            <w:tcBorders>
              <w:top w:val="outset" w:sz="6" w:space="0" w:color="auto"/>
              <w:bottom w:val="outset" w:sz="6" w:space="0" w:color="auto"/>
              <w:right w:val="outset" w:sz="6" w:space="0" w:color="auto"/>
            </w:tcBorders>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光学</w:t>
            </w:r>
          </w:p>
        </w:tc>
        <w:tc>
          <w:tcPr>
            <w:tcW w:w="5385" w:type="dxa"/>
            <w:tcBorders>
              <w:top w:val="outset" w:sz="6" w:space="0" w:color="auto"/>
              <w:left w:val="outset" w:sz="6" w:space="0" w:color="auto"/>
              <w:bottom w:val="outset" w:sz="6" w:space="0" w:color="auto"/>
            </w:tcBorders>
            <w:shd w:val="clear" w:color="auto" w:fill="FFFFFF"/>
            <w:vAlign w:val="center"/>
          </w:tcPr>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光和光的传播</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几何光学成像</w:t>
            </w:r>
          </w:p>
          <w:p w:rsidR="005D454F" w:rsidRPr="00566903" w:rsidRDefault="005D454F" w:rsidP="005D454F">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hint="eastAsia"/>
                <w:snapToGrid w:val="0"/>
                <w:sz w:val="28"/>
                <w:szCs w:val="28"/>
              </w:rPr>
              <w:t>光的干涉和衍射</w:t>
            </w:r>
          </w:p>
        </w:tc>
      </w:tr>
    </w:tbl>
    <w:p w:rsidR="005D454F" w:rsidRDefault="005D454F" w:rsidP="00AA174F">
      <w:pPr>
        <w:adjustRightInd w:val="0"/>
        <w:snapToGrid w:val="0"/>
        <w:ind w:firstLine="420"/>
        <w:rPr>
          <w:rFonts w:ascii="楷体_GB2312" w:eastAsia="楷体_GB2312" w:hAnsi="??" w:cs="Times New Roman"/>
          <w:sz w:val="28"/>
          <w:szCs w:val="28"/>
        </w:rPr>
      </w:pPr>
    </w:p>
    <w:p w:rsidR="005D454F" w:rsidRDefault="005D454F" w:rsidP="00565696">
      <w:pPr>
        <w:adjustRightInd w:val="0"/>
        <w:snapToGrid w:val="0"/>
        <w:spacing w:line="440" w:lineRule="exact"/>
        <w:ind w:firstLineChars="200" w:firstLine="31680"/>
        <w:rPr>
          <w:rFonts w:ascii="仿宋_GB2312" w:eastAsia="仿宋_GB2312" w:cs="Times New Roman"/>
          <w:b/>
          <w:bCs/>
          <w:sz w:val="28"/>
          <w:szCs w:val="28"/>
        </w:rPr>
      </w:pPr>
      <w:r>
        <w:rPr>
          <w:rFonts w:ascii="仿宋_GB2312" w:eastAsia="仿宋_GB2312" w:hAnsi="宋体" w:cs="仿宋_GB2312"/>
          <w:b/>
          <w:bCs/>
          <w:sz w:val="28"/>
          <w:szCs w:val="28"/>
        </w:rPr>
        <w:t>(</w:t>
      </w:r>
      <w:r>
        <w:rPr>
          <w:rFonts w:ascii="仿宋_GB2312" w:eastAsia="仿宋_GB2312" w:hAnsi="宋体" w:cs="仿宋_GB2312" w:hint="eastAsia"/>
          <w:b/>
          <w:bCs/>
          <w:sz w:val="28"/>
          <w:szCs w:val="28"/>
        </w:rPr>
        <w:t>二</w:t>
      </w:r>
      <w:r>
        <w:rPr>
          <w:rFonts w:ascii="仿宋_GB2312" w:eastAsia="仿宋_GB2312" w:hAnsi="宋体" w:cs="仿宋_GB2312"/>
          <w:b/>
          <w:bCs/>
          <w:sz w:val="28"/>
          <w:szCs w:val="28"/>
        </w:rPr>
        <w:t>)</w:t>
      </w:r>
      <w:r>
        <w:rPr>
          <w:rFonts w:ascii="仿宋_GB2312" w:eastAsia="仿宋_GB2312" w:hAnsi="宋体" w:cs="仿宋_GB2312" w:hint="eastAsia"/>
          <w:b/>
          <w:bCs/>
          <w:sz w:val="28"/>
          <w:szCs w:val="28"/>
        </w:rPr>
        <w:t>学科课程与教学论及其应用</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1.</w:t>
      </w:r>
      <w:r w:rsidRPr="00566903">
        <w:rPr>
          <w:rFonts w:ascii="仿宋_GB2312" w:eastAsia="仿宋_GB2312" w:hAnsi="宋体" w:cs="仿宋_GB2312" w:hint="eastAsia"/>
          <w:snapToGrid w:val="0"/>
          <w:sz w:val="28"/>
          <w:szCs w:val="28"/>
        </w:rPr>
        <w:t>《义务教育物理课程标准（</w:t>
      </w:r>
      <w:r w:rsidRPr="00566903">
        <w:rPr>
          <w:rFonts w:ascii="仿宋_GB2312" w:eastAsia="仿宋_GB2312" w:hAnsi="宋体" w:cs="仿宋_GB2312"/>
          <w:snapToGrid w:val="0"/>
          <w:sz w:val="28"/>
          <w:szCs w:val="28"/>
        </w:rPr>
        <w:t>2011</w:t>
      </w:r>
      <w:r w:rsidRPr="00566903">
        <w:rPr>
          <w:rFonts w:ascii="仿宋_GB2312" w:eastAsia="仿宋_GB2312" w:hAnsi="宋体" w:cs="仿宋_GB2312" w:hint="eastAsia"/>
          <w:snapToGrid w:val="0"/>
          <w:sz w:val="28"/>
          <w:szCs w:val="28"/>
        </w:rPr>
        <w:t>年版）》和《普通高中物理课程标准（实验）》中的课程性质、基本理念、课程目标、教学建议和评价建议等。</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2.</w:t>
      </w:r>
      <w:r w:rsidRPr="00566903">
        <w:rPr>
          <w:rFonts w:ascii="仿宋_GB2312" w:eastAsia="仿宋_GB2312" w:hAnsi="宋体" w:cs="仿宋_GB2312" w:hint="eastAsia"/>
          <w:snapToGrid w:val="0"/>
          <w:sz w:val="28"/>
          <w:szCs w:val="28"/>
        </w:rPr>
        <w:t>中学物理课程实施的理论和技能。理论包括中学物理教学的目的、教学过程、教学方法等；技能包括实际教学内容的分析、教学目标的确定、教学设计和教学组织等。</w:t>
      </w:r>
    </w:p>
    <w:p w:rsidR="005D454F" w:rsidRDefault="005D454F" w:rsidP="00AA174F">
      <w:pPr>
        <w:adjustRightInd w:val="0"/>
        <w:snapToGrid w:val="0"/>
        <w:rPr>
          <w:rFonts w:cs="Times New Roman"/>
        </w:rPr>
      </w:pPr>
    </w:p>
    <w:p w:rsidR="005D454F" w:rsidRDefault="005D454F" w:rsidP="00565696">
      <w:pPr>
        <w:adjustRightInd w:val="0"/>
        <w:snapToGrid w:val="0"/>
        <w:ind w:firstLineChars="200" w:firstLine="31680"/>
        <w:rPr>
          <w:rFonts w:ascii="黑体" w:eastAsia="黑体" w:cs="Times New Roman"/>
          <w:b/>
          <w:bCs/>
          <w:sz w:val="28"/>
          <w:szCs w:val="28"/>
        </w:rPr>
      </w:pPr>
      <w:r>
        <w:rPr>
          <w:rFonts w:ascii="黑体" w:eastAsia="黑体" w:hAnsi="宋体" w:cs="黑体" w:hint="eastAsia"/>
          <w:b/>
          <w:bCs/>
          <w:sz w:val="28"/>
          <w:szCs w:val="28"/>
        </w:rPr>
        <w:t>四、考试形式与试卷结构</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1</w:t>
      </w:r>
      <w:r w:rsidRPr="00566903">
        <w:rPr>
          <w:rFonts w:ascii="仿宋_GB2312" w:eastAsia="仿宋_GB2312" w:hAnsi="宋体" w:cs="仿宋_GB2312" w:hint="eastAsia"/>
          <w:snapToGrid w:val="0"/>
          <w:sz w:val="28"/>
          <w:szCs w:val="28"/>
        </w:rPr>
        <w:t>．考试形式：闭卷、笔试。</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 xml:space="preserve">2. </w:t>
      </w:r>
      <w:r w:rsidRPr="00566903">
        <w:rPr>
          <w:rFonts w:ascii="仿宋_GB2312" w:eastAsia="仿宋_GB2312" w:hAnsi="宋体" w:cs="仿宋_GB2312" w:hint="eastAsia"/>
          <w:snapToGrid w:val="0"/>
          <w:sz w:val="28"/>
          <w:szCs w:val="28"/>
        </w:rPr>
        <w:t>考试时间</w:t>
      </w:r>
      <w:r w:rsidRPr="00566903">
        <w:rPr>
          <w:rFonts w:ascii="仿宋_GB2312" w:eastAsia="仿宋_GB2312" w:hAnsi="宋体" w:cs="仿宋_GB2312"/>
          <w:snapToGrid w:val="0"/>
          <w:sz w:val="28"/>
          <w:szCs w:val="28"/>
        </w:rPr>
        <w:t xml:space="preserve">:  150 </w:t>
      </w:r>
      <w:r w:rsidRPr="00566903">
        <w:rPr>
          <w:rFonts w:ascii="仿宋_GB2312" w:eastAsia="仿宋_GB2312" w:hAnsi="宋体" w:cs="仿宋_GB2312" w:hint="eastAsia"/>
          <w:snapToGrid w:val="0"/>
          <w:sz w:val="28"/>
          <w:szCs w:val="28"/>
        </w:rPr>
        <w:t>分钟，试卷分值</w:t>
      </w:r>
      <w:r w:rsidRPr="00566903">
        <w:rPr>
          <w:rFonts w:ascii="仿宋_GB2312" w:eastAsia="仿宋_GB2312" w:hAnsi="宋体" w:cs="仿宋_GB2312"/>
          <w:snapToGrid w:val="0"/>
          <w:sz w:val="28"/>
          <w:szCs w:val="28"/>
        </w:rPr>
        <w:t>120</w:t>
      </w:r>
      <w:r w:rsidRPr="00566903">
        <w:rPr>
          <w:rFonts w:ascii="仿宋_GB2312" w:eastAsia="仿宋_GB2312" w:hAnsi="宋体" w:cs="仿宋_GB2312" w:hint="eastAsia"/>
          <w:snapToGrid w:val="0"/>
          <w:sz w:val="28"/>
          <w:szCs w:val="28"/>
        </w:rPr>
        <w:t>分。</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2</w:t>
      </w:r>
      <w:r w:rsidRPr="00566903">
        <w:rPr>
          <w:rFonts w:ascii="仿宋_GB2312" w:eastAsia="仿宋_GB2312" w:hAnsi="宋体" w:cs="仿宋_GB2312" w:hint="eastAsia"/>
          <w:snapToGrid w:val="0"/>
          <w:sz w:val="28"/>
          <w:szCs w:val="28"/>
        </w:rPr>
        <w:t>．主要题型：选择题、实验题、简答题、计算题等。</w:t>
      </w:r>
    </w:p>
    <w:p w:rsidR="005D454F" w:rsidRPr="00566903" w:rsidRDefault="005D454F" w:rsidP="00565696">
      <w:pPr>
        <w:adjustRightInd w:val="0"/>
        <w:snapToGrid w:val="0"/>
        <w:spacing w:line="440" w:lineRule="exact"/>
        <w:ind w:firstLineChars="200" w:firstLine="31680"/>
        <w:rPr>
          <w:rFonts w:ascii="仿宋_GB2312" w:eastAsia="仿宋_GB2312" w:hAnsi="宋体" w:cs="Times New Roman"/>
          <w:snapToGrid w:val="0"/>
          <w:sz w:val="28"/>
          <w:szCs w:val="28"/>
        </w:rPr>
      </w:pPr>
      <w:r w:rsidRPr="00566903">
        <w:rPr>
          <w:rFonts w:ascii="仿宋_GB2312" w:eastAsia="仿宋_GB2312" w:hAnsi="宋体" w:cs="仿宋_GB2312"/>
          <w:snapToGrid w:val="0"/>
          <w:sz w:val="28"/>
          <w:szCs w:val="28"/>
        </w:rPr>
        <w:t>3</w:t>
      </w:r>
      <w:r w:rsidRPr="00566903">
        <w:rPr>
          <w:rFonts w:ascii="仿宋_GB2312" w:eastAsia="仿宋_GB2312" w:hAnsi="宋体" w:cs="仿宋_GB2312" w:hint="eastAsia"/>
          <w:snapToGrid w:val="0"/>
          <w:sz w:val="28"/>
          <w:szCs w:val="28"/>
        </w:rPr>
        <w:t>．内容比例：学科专业知识约占</w:t>
      </w:r>
      <w:r w:rsidRPr="00566903">
        <w:rPr>
          <w:rFonts w:ascii="仿宋_GB2312" w:eastAsia="仿宋_GB2312" w:hAnsi="宋体" w:cs="仿宋_GB2312"/>
          <w:snapToGrid w:val="0"/>
          <w:sz w:val="28"/>
          <w:szCs w:val="28"/>
        </w:rPr>
        <w:t>70%</w:t>
      </w:r>
      <w:r w:rsidRPr="00566903">
        <w:rPr>
          <w:rFonts w:ascii="仿宋_GB2312" w:eastAsia="仿宋_GB2312" w:hAnsi="宋体" w:cs="仿宋_GB2312" w:hint="eastAsia"/>
          <w:snapToGrid w:val="0"/>
          <w:sz w:val="28"/>
          <w:szCs w:val="28"/>
        </w:rPr>
        <w:t>，课程与教学论约占</w:t>
      </w:r>
      <w:r w:rsidRPr="00566903">
        <w:rPr>
          <w:rFonts w:ascii="仿宋_GB2312" w:eastAsia="仿宋_GB2312" w:hAnsi="宋体" w:cs="仿宋_GB2312"/>
          <w:snapToGrid w:val="0"/>
          <w:sz w:val="28"/>
          <w:szCs w:val="28"/>
        </w:rPr>
        <w:t>30%</w:t>
      </w:r>
      <w:r w:rsidRPr="00566903">
        <w:rPr>
          <w:rFonts w:ascii="仿宋_GB2312" w:eastAsia="仿宋_GB2312" w:hAnsi="宋体" w:cs="仿宋_GB2312" w:hint="eastAsia"/>
          <w:snapToGrid w:val="0"/>
          <w:sz w:val="28"/>
          <w:szCs w:val="28"/>
        </w:rPr>
        <w:t>。</w:t>
      </w:r>
    </w:p>
    <w:p w:rsidR="005D454F" w:rsidRPr="00AA174F" w:rsidRDefault="005D454F">
      <w:pPr>
        <w:rPr>
          <w:rFonts w:cs="Times New Roman"/>
        </w:rPr>
      </w:pPr>
    </w:p>
    <w:sectPr w:rsidR="005D454F" w:rsidRPr="00AA174F" w:rsidSect="00B902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54F" w:rsidRDefault="005D454F" w:rsidP="00EB30F5">
      <w:pPr>
        <w:rPr>
          <w:rFonts w:cs="Times New Roman"/>
        </w:rPr>
      </w:pPr>
      <w:r>
        <w:rPr>
          <w:rFonts w:cs="Times New Roman"/>
        </w:rPr>
        <w:separator/>
      </w:r>
    </w:p>
  </w:endnote>
  <w:endnote w:type="continuationSeparator" w:id="0">
    <w:p w:rsidR="005D454F" w:rsidRDefault="005D454F" w:rsidP="00EB30F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54F" w:rsidRDefault="005D454F" w:rsidP="00EB30F5">
      <w:pPr>
        <w:rPr>
          <w:rFonts w:cs="Times New Roman"/>
        </w:rPr>
      </w:pPr>
      <w:r>
        <w:rPr>
          <w:rFonts w:cs="Times New Roman"/>
        </w:rPr>
        <w:separator/>
      </w:r>
    </w:p>
  </w:footnote>
  <w:footnote w:type="continuationSeparator" w:id="0">
    <w:p w:rsidR="005D454F" w:rsidRDefault="005D454F" w:rsidP="00EB30F5">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174F"/>
    <w:rsid w:val="00064ADD"/>
    <w:rsid w:val="00066649"/>
    <w:rsid w:val="0013417B"/>
    <w:rsid w:val="001E3344"/>
    <w:rsid w:val="001F7A75"/>
    <w:rsid w:val="0023267D"/>
    <w:rsid w:val="00284C49"/>
    <w:rsid w:val="003E2EC1"/>
    <w:rsid w:val="00514668"/>
    <w:rsid w:val="00565696"/>
    <w:rsid w:val="00566903"/>
    <w:rsid w:val="005B5D34"/>
    <w:rsid w:val="005D454F"/>
    <w:rsid w:val="00733FB8"/>
    <w:rsid w:val="00813A85"/>
    <w:rsid w:val="0082684C"/>
    <w:rsid w:val="008568EF"/>
    <w:rsid w:val="0089029B"/>
    <w:rsid w:val="009550BE"/>
    <w:rsid w:val="00AA174F"/>
    <w:rsid w:val="00AF6026"/>
    <w:rsid w:val="00B21599"/>
    <w:rsid w:val="00B90290"/>
    <w:rsid w:val="00D00F0A"/>
    <w:rsid w:val="00D320BE"/>
    <w:rsid w:val="00EB30F5"/>
    <w:rsid w:val="00F349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74F"/>
    <w:pPr>
      <w:widowControl w:val="0"/>
      <w:jc w:val="both"/>
    </w:pPr>
    <w:rPr>
      <w:rFonts w:ascii="Arial" w:hAnsi="Arial" w:cs="Arial"/>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列出段落1"/>
    <w:basedOn w:val="Normal"/>
    <w:uiPriority w:val="99"/>
    <w:rsid w:val="00AA174F"/>
    <w:pPr>
      <w:ind w:firstLineChars="200" w:firstLine="420"/>
    </w:pPr>
  </w:style>
  <w:style w:type="paragraph" w:styleId="Header">
    <w:name w:val="header"/>
    <w:basedOn w:val="Normal"/>
    <w:link w:val="HeaderChar"/>
    <w:uiPriority w:val="99"/>
    <w:rsid w:val="00EB30F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B30F5"/>
    <w:rPr>
      <w:rFonts w:ascii="Arial" w:hAnsi="Arial" w:cs="Arial"/>
      <w:color w:val="000000"/>
      <w:sz w:val="18"/>
      <w:szCs w:val="18"/>
    </w:rPr>
  </w:style>
  <w:style w:type="paragraph" w:styleId="Footer">
    <w:name w:val="footer"/>
    <w:basedOn w:val="Normal"/>
    <w:link w:val="FooterChar"/>
    <w:uiPriority w:val="99"/>
    <w:rsid w:val="00EB30F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B30F5"/>
    <w:rPr>
      <w:rFonts w:ascii="Arial" w:hAnsi="Arial" w:cs="Arial"/>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210</Words>
  <Characters>1200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2016年安徽省中小学新任教师公开招聘统一笔试</dc:title>
  <dc:subject/>
  <dc:creator>微软用户</dc:creator>
  <cp:keywords/>
  <dc:description/>
  <cp:lastModifiedBy>许晓红</cp:lastModifiedBy>
  <cp:revision>3</cp:revision>
  <dcterms:created xsi:type="dcterms:W3CDTF">2016-05-12T10:19:00Z</dcterms:created>
  <dcterms:modified xsi:type="dcterms:W3CDTF">2016-05-14T00:33:00Z</dcterms:modified>
</cp:coreProperties>
</file>